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B5E6" w14:textId="77777777" w:rsidR="004A3802" w:rsidRPr="004A3802" w:rsidRDefault="0042610B" w:rsidP="004A3802">
      <w:pPr>
        <w:tabs>
          <w:tab w:val="left" w:pos="-1080"/>
          <w:tab w:val="left" w:pos="-720"/>
          <w:tab w:val="left" w:pos="0"/>
          <w:tab w:val="left" w:pos="420"/>
          <w:tab w:val="left" w:pos="720"/>
          <w:tab w:val="left" w:pos="2160"/>
        </w:tabs>
        <w:jc w:val="center"/>
        <w:rPr>
          <w:b/>
          <w:sz w:val="22"/>
          <w:szCs w:val="22"/>
        </w:rPr>
      </w:pPr>
      <w:r>
        <w:rPr>
          <w:b/>
          <w:sz w:val="22"/>
          <w:szCs w:val="22"/>
        </w:rPr>
        <w:t xml:space="preserve">LPA CHANGE ORDER </w:t>
      </w:r>
      <w:r w:rsidRPr="006D4936">
        <w:rPr>
          <w:b/>
          <w:sz w:val="22"/>
          <w:szCs w:val="22"/>
          <w14:shadow w14:blurRad="50800" w14:dist="38100" w14:dir="2700000" w14:sx="100000" w14:sy="100000" w14:kx="0" w14:ky="0" w14:algn="tl">
            <w14:srgbClr w14:val="000000">
              <w14:alpha w14:val="60000"/>
            </w14:srgbClr>
          </w14:shadow>
        </w:rPr>
        <w:t>GUIDANCE</w:t>
      </w:r>
    </w:p>
    <w:p w14:paraId="57231816" w14:textId="77777777" w:rsidR="004A3802" w:rsidRDefault="004A3802" w:rsidP="004A3802">
      <w:pPr>
        <w:tabs>
          <w:tab w:val="left" w:pos="-1080"/>
          <w:tab w:val="left" w:pos="-720"/>
          <w:tab w:val="left" w:pos="0"/>
          <w:tab w:val="left" w:pos="420"/>
          <w:tab w:val="left" w:pos="720"/>
          <w:tab w:val="left" w:pos="2160"/>
        </w:tabs>
        <w:rPr>
          <w:sz w:val="22"/>
          <w:szCs w:val="22"/>
        </w:rPr>
      </w:pPr>
    </w:p>
    <w:p w14:paraId="785FF49B" w14:textId="77777777" w:rsidR="004A3802" w:rsidRDefault="004A3802" w:rsidP="004A3802">
      <w:pPr>
        <w:tabs>
          <w:tab w:val="left" w:pos="-1080"/>
          <w:tab w:val="left" w:pos="-720"/>
          <w:tab w:val="left" w:pos="0"/>
          <w:tab w:val="left" w:pos="420"/>
          <w:tab w:val="left" w:pos="720"/>
          <w:tab w:val="left" w:pos="2160"/>
        </w:tabs>
        <w:rPr>
          <w:sz w:val="22"/>
          <w:szCs w:val="22"/>
        </w:rPr>
      </w:pPr>
      <w:r w:rsidRPr="004A3802">
        <w:rPr>
          <w:sz w:val="22"/>
          <w:szCs w:val="22"/>
        </w:rPr>
        <w:t>A change order is prepared and processed for any of the following reasons:</w:t>
      </w:r>
    </w:p>
    <w:p w14:paraId="1437DEBD" w14:textId="77777777" w:rsidR="008D5E3B" w:rsidRPr="004A3802" w:rsidRDefault="008D5E3B" w:rsidP="004A3802">
      <w:pPr>
        <w:tabs>
          <w:tab w:val="left" w:pos="-1080"/>
          <w:tab w:val="left" w:pos="-720"/>
          <w:tab w:val="left" w:pos="0"/>
          <w:tab w:val="left" w:pos="420"/>
          <w:tab w:val="left" w:pos="720"/>
          <w:tab w:val="left" w:pos="2160"/>
        </w:tabs>
        <w:rPr>
          <w:sz w:val="22"/>
          <w:szCs w:val="22"/>
        </w:rPr>
      </w:pPr>
    </w:p>
    <w:p w14:paraId="3E68B906"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528EF624"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An increase or decrease in any of the contract pay items;</w:t>
      </w:r>
    </w:p>
    <w:p w14:paraId="5185B08C"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10D2D32A"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Changes in the work which were not originally delineated in the contract such as revised design considerations;</w:t>
      </w:r>
    </w:p>
    <w:p w14:paraId="02FB9FBE"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0A2BF952"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The addition of a new or modified pay item required to complete the work in accordance with the contract;</w:t>
      </w:r>
    </w:p>
    <w:p w14:paraId="5408623B"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60AD5F0B"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Changes caused by outside agencies such as utilities, railroads, etc.;</w:t>
      </w:r>
    </w:p>
    <w:p w14:paraId="76240FF2" w14:textId="77777777" w:rsidR="004A3802" w:rsidRPr="004A3802" w:rsidRDefault="004A3802" w:rsidP="004A3802">
      <w:pPr>
        <w:pStyle w:val="Level1"/>
        <w:numPr>
          <w:ilvl w:val="0"/>
          <w:numId w:val="0"/>
        </w:numPr>
        <w:tabs>
          <w:tab w:val="left" w:pos="-1080"/>
          <w:tab w:val="left" w:pos="-720"/>
          <w:tab w:val="left" w:pos="0"/>
          <w:tab w:val="left" w:pos="420"/>
          <w:tab w:val="left" w:pos="720"/>
          <w:tab w:val="left" w:pos="2160"/>
        </w:tabs>
        <w:outlineLvl w:val="9"/>
        <w:rPr>
          <w:sz w:val="22"/>
          <w:szCs w:val="22"/>
        </w:rPr>
      </w:pPr>
    </w:p>
    <w:p w14:paraId="6084A6C8"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Payment adjustments due to contract provisions;</w:t>
      </w:r>
    </w:p>
    <w:p w14:paraId="5BFF27D6"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66A82D22"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Quantity changes to meet field conditions;</w:t>
      </w:r>
    </w:p>
    <w:p w14:paraId="5CD85CDF"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736FC9F3"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Plan errors;</w:t>
      </w:r>
    </w:p>
    <w:p w14:paraId="22A3618C"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70E1EB7B"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Suspension of Work;</w:t>
      </w:r>
    </w:p>
    <w:p w14:paraId="2613D3A8" w14:textId="77777777" w:rsidR="004A3802" w:rsidRPr="004A3802" w:rsidRDefault="004A3802" w:rsidP="004A3802">
      <w:pPr>
        <w:tabs>
          <w:tab w:val="left" w:pos="-1080"/>
          <w:tab w:val="left" w:pos="-720"/>
          <w:tab w:val="left" w:pos="0"/>
          <w:tab w:val="left" w:pos="420"/>
          <w:tab w:val="left" w:pos="720"/>
          <w:tab w:val="left" w:pos="2160"/>
        </w:tabs>
        <w:ind w:firstLine="420"/>
        <w:rPr>
          <w:sz w:val="22"/>
          <w:szCs w:val="22"/>
        </w:rPr>
      </w:pPr>
    </w:p>
    <w:p w14:paraId="61ABA52D" w14:textId="77777777" w:rsidR="004A3802" w:rsidRPr="004A3802"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Final measurements/calculations; and</w:t>
      </w:r>
    </w:p>
    <w:p w14:paraId="10ECA4B0"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6176B8A5" w14:textId="77777777" w:rsidR="00A666B8" w:rsidRDefault="004A3802"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4A3802">
        <w:rPr>
          <w:sz w:val="22"/>
          <w:szCs w:val="22"/>
        </w:rPr>
        <w:t>Settlement of a dispute or claim resulting from any of the above reasons.</w:t>
      </w:r>
    </w:p>
    <w:p w14:paraId="22968170" w14:textId="77777777" w:rsidR="00A666B8" w:rsidRDefault="00A666B8" w:rsidP="00A666B8">
      <w:pPr>
        <w:pStyle w:val="Level1"/>
        <w:numPr>
          <w:ilvl w:val="0"/>
          <w:numId w:val="0"/>
        </w:numPr>
        <w:tabs>
          <w:tab w:val="left" w:pos="-1080"/>
          <w:tab w:val="left" w:pos="-720"/>
          <w:tab w:val="left" w:pos="0"/>
          <w:tab w:val="left" w:pos="420"/>
          <w:tab w:val="left" w:pos="720"/>
          <w:tab w:val="left" w:pos="2160"/>
        </w:tabs>
        <w:ind w:left="420"/>
        <w:outlineLvl w:val="9"/>
        <w:rPr>
          <w:sz w:val="22"/>
          <w:szCs w:val="22"/>
        </w:rPr>
      </w:pPr>
    </w:p>
    <w:p w14:paraId="02F063F5" w14:textId="77777777" w:rsidR="00A666B8" w:rsidRPr="008D5E3B" w:rsidRDefault="00A666B8" w:rsidP="00A666B8">
      <w:pPr>
        <w:pStyle w:val="Level1"/>
        <w:numPr>
          <w:ilvl w:val="0"/>
          <w:numId w:val="5"/>
        </w:numPr>
        <w:tabs>
          <w:tab w:val="left" w:pos="-1080"/>
          <w:tab w:val="left" w:pos="-720"/>
          <w:tab w:val="left" w:pos="0"/>
          <w:tab w:val="left" w:pos="420"/>
          <w:tab w:val="left" w:pos="720"/>
          <w:tab w:val="left" w:pos="2160"/>
        </w:tabs>
        <w:outlineLvl w:val="9"/>
        <w:rPr>
          <w:sz w:val="22"/>
          <w:szCs w:val="22"/>
        </w:rPr>
      </w:pPr>
      <w:r w:rsidRPr="008D5E3B">
        <w:rPr>
          <w:sz w:val="22"/>
          <w:szCs w:val="22"/>
        </w:rPr>
        <w:t>Modify contract completion date.</w:t>
      </w:r>
    </w:p>
    <w:p w14:paraId="5B375F4E"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7650211B" w14:textId="77777777" w:rsidR="008D5E3B" w:rsidRDefault="008D5E3B" w:rsidP="004A3802">
      <w:pPr>
        <w:tabs>
          <w:tab w:val="left" w:pos="-1080"/>
          <w:tab w:val="left" w:pos="-720"/>
          <w:tab w:val="left" w:pos="0"/>
          <w:tab w:val="left" w:pos="420"/>
          <w:tab w:val="left" w:pos="720"/>
          <w:tab w:val="left" w:pos="2160"/>
        </w:tabs>
        <w:rPr>
          <w:sz w:val="22"/>
          <w:szCs w:val="22"/>
        </w:rPr>
      </w:pPr>
    </w:p>
    <w:p w14:paraId="7B12FD9E" w14:textId="77777777" w:rsidR="004A3802" w:rsidRPr="004A3802" w:rsidRDefault="004A3802" w:rsidP="004A3802">
      <w:pPr>
        <w:tabs>
          <w:tab w:val="left" w:pos="-1080"/>
          <w:tab w:val="left" w:pos="-720"/>
          <w:tab w:val="left" w:pos="0"/>
          <w:tab w:val="left" w:pos="420"/>
          <w:tab w:val="left" w:pos="720"/>
          <w:tab w:val="left" w:pos="2160"/>
        </w:tabs>
        <w:rPr>
          <w:sz w:val="22"/>
          <w:szCs w:val="22"/>
        </w:rPr>
      </w:pPr>
      <w:r w:rsidRPr="004A3802">
        <w:rPr>
          <w:sz w:val="22"/>
          <w:szCs w:val="22"/>
        </w:rPr>
        <w:t xml:space="preserve">The change order must provide sufficient explanation to ascertain that the work is necessary, consistent with specifications, within the scope and with concurrence of the CM. If the change order </w:t>
      </w:r>
      <w:r w:rsidR="0042610B">
        <w:rPr>
          <w:sz w:val="22"/>
          <w:szCs w:val="22"/>
        </w:rPr>
        <w:t>is concurred on by ODOT and Federal</w:t>
      </w:r>
      <w:r w:rsidRPr="004A3802">
        <w:rPr>
          <w:sz w:val="22"/>
          <w:szCs w:val="22"/>
        </w:rPr>
        <w:t xml:space="preserve"> / State funds are available above current ODOT project encumbrances, but under the project capped amount, funding may be permitted. Funding of change orders not appr</w:t>
      </w:r>
      <w:r w:rsidR="0042610B">
        <w:rPr>
          <w:sz w:val="22"/>
          <w:szCs w:val="22"/>
        </w:rPr>
        <w:t xml:space="preserve">oved or for which no remaining Federal </w:t>
      </w:r>
      <w:r w:rsidRPr="004A3802">
        <w:rPr>
          <w:sz w:val="22"/>
          <w:szCs w:val="22"/>
        </w:rPr>
        <w:t>/ State funds remain, is the sole responsibility of the LPA.</w:t>
      </w:r>
    </w:p>
    <w:p w14:paraId="22989D7F" w14:textId="77777777" w:rsidR="004A3802" w:rsidRPr="004A3802" w:rsidRDefault="004A3802" w:rsidP="004A3802">
      <w:pPr>
        <w:tabs>
          <w:tab w:val="left" w:pos="-1080"/>
          <w:tab w:val="left" w:pos="-720"/>
          <w:tab w:val="left" w:pos="0"/>
          <w:tab w:val="left" w:pos="420"/>
          <w:tab w:val="left" w:pos="720"/>
          <w:tab w:val="left" w:pos="2160"/>
        </w:tabs>
        <w:rPr>
          <w:sz w:val="22"/>
          <w:szCs w:val="22"/>
        </w:rPr>
      </w:pPr>
    </w:p>
    <w:p w14:paraId="53DED7CB" w14:textId="77777777" w:rsidR="004A3802" w:rsidRPr="004A3802" w:rsidRDefault="004A3802" w:rsidP="004A3802">
      <w:pPr>
        <w:tabs>
          <w:tab w:val="left" w:pos="-1080"/>
          <w:tab w:val="left" w:pos="-720"/>
          <w:tab w:val="left" w:pos="0"/>
          <w:tab w:val="left" w:pos="420"/>
          <w:tab w:val="left" w:pos="720"/>
          <w:tab w:val="left" w:pos="2160"/>
        </w:tabs>
        <w:rPr>
          <w:color w:val="000000"/>
          <w:sz w:val="22"/>
          <w:szCs w:val="22"/>
        </w:rPr>
      </w:pPr>
      <w:r w:rsidRPr="004A3802">
        <w:rPr>
          <w:sz w:val="22"/>
          <w:szCs w:val="22"/>
        </w:rPr>
        <w:t xml:space="preserve">The processing of change orders usually begins with the recognition of a need for a change order at the project level. There is usually communication between the contractor and the </w:t>
      </w:r>
      <w:smartTag w:uri="urn:schemas-microsoft-com:office:smarttags" w:element="stockticker">
        <w:r w:rsidRPr="004A3802">
          <w:rPr>
            <w:sz w:val="22"/>
            <w:szCs w:val="22"/>
          </w:rPr>
          <w:t>CPE</w:t>
        </w:r>
      </w:smartTag>
      <w:r w:rsidRPr="004A3802">
        <w:rPr>
          <w:sz w:val="22"/>
          <w:szCs w:val="22"/>
        </w:rPr>
        <w:t>. If all parties agree that a change order should be generated, a decision is made as to the type of change order that is needed.</w:t>
      </w:r>
      <w:r w:rsidRPr="004A3802">
        <w:rPr>
          <w:color w:val="FF0000"/>
          <w:sz w:val="22"/>
          <w:szCs w:val="22"/>
        </w:rPr>
        <w:t xml:space="preserve">  </w:t>
      </w:r>
    </w:p>
    <w:p w14:paraId="27096B9A" w14:textId="77777777" w:rsidR="004A3802" w:rsidRPr="004A3802" w:rsidRDefault="004A3802" w:rsidP="004A3802">
      <w:pPr>
        <w:tabs>
          <w:tab w:val="left" w:pos="-1080"/>
          <w:tab w:val="left" w:pos="-720"/>
          <w:tab w:val="left" w:pos="0"/>
          <w:tab w:val="left" w:pos="420"/>
          <w:tab w:val="left" w:pos="720"/>
          <w:tab w:val="left" w:pos="2160"/>
        </w:tabs>
        <w:rPr>
          <w:color w:val="000000"/>
          <w:sz w:val="22"/>
          <w:szCs w:val="22"/>
        </w:rPr>
      </w:pPr>
    </w:p>
    <w:p w14:paraId="2F71B928" w14:textId="77777777" w:rsidR="00323820" w:rsidRDefault="00323820" w:rsidP="004A3802">
      <w:pPr>
        <w:tabs>
          <w:tab w:val="left" w:pos="-1080"/>
          <w:tab w:val="left" w:pos="-720"/>
          <w:tab w:val="left" w:pos="0"/>
          <w:tab w:val="left" w:pos="420"/>
          <w:tab w:val="left" w:pos="720"/>
          <w:tab w:val="left" w:pos="2160"/>
        </w:tabs>
        <w:rPr>
          <w:color w:val="000000"/>
          <w:sz w:val="22"/>
          <w:szCs w:val="22"/>
        </w:rPr>
      </w:pPr>
      <w:r>
        <w:rPr>
          <w:color w:val="000000"/>
          <w:sz w:val="22"/>
          <w:szCs w:val="22"/>
        </w:rPr>
        <w:t>T</w:t>
      </w:r>
      <w:r w:rsidRPr="004A3802">
        <w:rPr>
          <w:color w:val="000000"/>
          <w:sz w:val="22"/>
          <w:szCs w:val="22"/>
        </w:rPr>
        <w:t>he</w:t>
      </w:r>
      <w:r w:rsidR="004A3802" w:rsidRPr="004A3802">
        <w:rPr>
          <w:color w:val="000000"/>
          <w:sz w:val="22"/>
          <w:szCs w:val="22"/>
        </w:rPr>
        <w:t xml:space="preserve"> performance of extra work or additional quantities of work may warrant an extension of contract time. Extensions of contract time may involve additional direct project overhead cost.</w:t>
      </w:r>
      <w:r>
        <w:rPr>
          <w:color w:val="000000"/>
          <w:sz w:val="22"/>
          <w:szCs w:val="22"/>
        </w:rPr>
        <w:t xml:space="preserve"> </w:t>
      </w:r>
      <w:r w:rsidR="004A3802" w:rsidRPr="004A3802">
        <w:rPr>
          <w:color w:val="000000"/>
          <w:sz w:val="22"/>
          <w:szCs w:val="22"/>
        </w:rPr>
        <w:t xml:space="preserve">Once the need to perform extra work on a project has been identified, a basis of payment for this work must be established. </w:t>
      </w:r>
    </w:p>
    <w:p w14:paraId="38D8EE93" w14:textId="77777777" w:rsidR="00323820" w:rsidRDefault="00323820" w:rsidP="004A3802">
      <w:pPr>
        <w:tabs>
          <w:tab w:val="left" w:pos="-1080"/>
          <w:tab w:val="left" w:pos="-720"/>
          <w:tab w:val="left" w:pos="0"/>
          <w:tab w:val="left" w:pos="420"/>
          <w:tab w:val="left" w:pos="720"/>
          <w:tab w:val="left" w:pos="2160"/>
        </w:tabs>
        <w:rPr>
          <w:color w:val="000000"/>
          <w:sz w:val="22"/>
          <w:szCs w:val="22"/>
        </w:rPr>
      </w:pPr>
    </w:p>
    <w:p w14:paraId="75455C55" w14:textId="77777777" w:rsidR="004A3802" w:rsidRPr="004A3802" w:rsidRDefault="004A3802" w:rsidP="004A3802">
      <w:pPr>
        <w:tabs>
          <w:tab w:val="left" w:pos="-1080"/>
          <w:tab w:val="left" w:pos="-720"/>
          <w:tab w:val="left" w:pos="0"/>
          <w:tab w:val="left" w:pos="420"/>
          <w:tab w:val="left" w:pos="720"/>
          <w:tab w:val="left" w:pos="2160"/>
        </w:tabs>
        <w:rPr>
          <w:color w:val="000000"/>
          <w:sz w:val="22"/>
          <w:szCs w:val="22"/>
        </w:rPr>
      </w:pPr>
      <w:r w:rsidRPr="004A3802">
        <w:rPr>
          <w:color w:val="000000"/>
          <w:sz w:val="22"/>
          <w:szCs w:val="22"/>
        </w:rPr>
        <w:t xml:space="preserve">The two types of pricing for extra work are usually Agreed Unit Price or Force Account Price.  Agreed Unit Price is used when the extra work can be broken down into measurable units. The number of units necessary to perform the work is estimated and a unit price determined and agreed upon. The agreed upon unit price should be a unit price already established in the contract or comparative pricing may be used. The </w:t>
      </w:r>
      <w:smartTag w:uri="urn:schemas-microsoft-com:office:smarttags" w:element="stockticker">
        <w:r w:rsidRPr="004A3802">
          <w:rPr>
            <w:color w:val="000000"/>
            <w:sz w:val="22"/>
            <w:szCs w:val="22"/>
          </w:rPr>
          <w:t>CPE</w:t>
        </w:r>
      </w:smartTag>
      <w:r w:rsidRPr="004A3802">
        <w:rPr>
          <w:color w:val="000000"/>
          <w:sz w:val="22"/>
          <w:szCs w:val="22"/>
        </w:rPr>
        <w:t xml:space="preserve"> may reference ODOT</w:t>
      </w:r>
      <w:r w:rsidRPr="004A3802">
        <w:rPr>
          <w:color w:val="000000"/>
          <w:sz w:val="22"/>
          <w:szCs w:val="22"/>
        </w:rPr>
        <w:sym w:font="WP TypographicSymbols" w:char="003D"/>
      </w:r>
      <w:r w:rsidRPr="004A3802">
        <w:rPr>
          <w:color w:val="000000"/>
          <w:sz w:val="22"/>
          <w:szCs w:val="22"/>
        </w:rPr>
        <w:t>s website of average bid prices to assist with this effort.</w:t>
      </w:r>
    </w:p>
    <w:p w14:paraId="00F42E68" w14:textId="77777777" w:rsidR="004A3802" w:rsidRPr="004A3802" w:rsidRDefault="004A3802" w:rsidP="004A3802">
      <w:pPr>
        <w:tabs>
          <w:tab w:val="left" w:pos="-1080"/>
          <w:tab w:val="left" w:pos="-720"/>
          <w:tab w:val="left" w:pos="0"/>
          <w:tab w:val="left" w:pos="420"/>
          <w:tab w:val="left" w:pos="720"/>
          <w:tab w:val="left" w:pos="2160"/>
        </w:tabs>
        <w:rPr>
          <w:color w:val="000000"/>
          <w:sz w:val="22"/>
          <w:szCs w:val="22"/>
        </w:rPr>
      </w:pPr>
    </w:p>
    <w:p w14:paraId="32A4F345" w14:textId="77777777" w:rsidR="004A3802" w:rsidRPr="004A3802" w:rsidRDefault="004A3802" w:rsidP="004A3802">
      <w:pPr>
        <w:tabs>
          <w:tab w:val="left" w:pos="-1080"/>
          <w:tab w:val="left" w:pos="-720"/>
          <w:tab w:val="left" w:pos="0"/>
          <w:tab w:val="left" w:pos="420"/>
          <w:tab w:val="left" w:pos="720"/>
          <w:tab w:val="left" w:pos="2160"/>
        </w:tabs>
        <w:rPr>
          <w:color w:val="000000"/>
          <w:sz w:val="22"/>
          <w:szCs w:val="22"/>
        </w:rPr>
      </w:pPr>
      <w:r w:rsidRPr="004A3802">
        <w:rPr>
          <w:color w:val="000000"/>
          <w:sz w:val="22"/>
          <w:szCs w:val="22"/>
        </w:rPr>
        <w:lastRenderedPageBreak/>
        <w:t>Force Account Price is used when the work cannot be broken into measurable units or when a unit price cannot be agreed upon. This method reimburses the contractor the actual costs of labor, equipment and materials incurred in the performance of the work including allowable overhead and markup. This method requires a significant amount of record keeping.</w:t>
      </w:r>
    </w:p>
    <w:p w14:paraId="7D156D57" w14:textId="77777777" w:rsidR="004A3802" w:rsidRPr="004A3802" w:rsidRDefault="004A3802" w:rsidP="004A3802">
      <w:pPr>
        <w:tabs>
          <w:tab w:val="left" w:pos="-1080"/>
          <w:tab w:val="left" w:pos="-720"/>
          <w:tab w:val="left" w:pos="0"/>
          <w:tab w:val="left" w:pos="420"/>
          <w:tab w:val="left" w:pos="720"/>
          <w:tab w:val="left" w:pos="2160"/>
        </w:tabs>
        <w:rPr>
          <w:color w:val="000000"/>
          <w:sz w:val="22"/>
          <w:szCs w:val="22"/>
        </w:rPr>
      </w:pPr>
      <w:bookmarkStart w:id="0" w:name="_GoBack"/>
      <w:bookmarkEnd w:id="0"/>
    </w:p>
    <w:sectPr w:rsidR="004A3802" w:rsidRPr="004A3802" w:rsidSect="00120035">
      <w:headerReference w:type="default"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186C" w14:textId="77777777" w:rsidR="00834762" w:rsidRDefault="00834762" w:rsidP="00585C0A">
      <w:r>
        <w:separator/>
      </w:r>
    </w:p>
  </w:endnote>
  <w:endnote w:type="continuationSeparator" w:id="0">
    <w:p w14:paraId="3A9BF959" w14:textId="77777777" w:rsidR="00834762" w:rsidRDefault="00834762" w:rsidP="0058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674D" w14:textId="1EC54A89" w:rsidR="00B300E5" w:rsidRPr="008D5E3B" w:rsidRDefault="008D5E3B" w:rsidP="008D5E3B">
    <w:pPr>
      <w:pStyle w:val="Footer"/>
      <w:jc w:val="both"/>
      <w:rPr>
        <w:sz w:val="18"/>
        <w:szCs w:val="18"/>
      </w:rPr>
    </w:pPr>
    <w:r w:rsidRPr="008D5E3B">
      <w:rPr>
        <w:sz w:val="18"/>
        <w:szCs w:val="18"/>
      </w:rPr>
      <w:t xml:space="preserve">Rev </w:t>
    </w:r>
    <w:r w:rsidR="00E60390">
      <w:rPr>
        <w:sz w:val="18"/>
        <w:szCs w:val="18"/>
      </w:rPr>
      <w:t>3/19/2021</w:t>
    </w:r>
    <w:r w:rsidR="00B300E5">
      <w:tab/>
    </w:r>
    <w:r w:rsidR="00B300E5">
      <w:tab/>
    </w:r>
  </w:p>
  <w:p w14:paraId="5822E417" w14:textId="77777777" w:rsidR="00585C0A" w:rsidRDefault="0058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08EB1" w14:textId="77777777" w:rsidR="00834762" w:rsidRDefault="00834762" w:rsidP="00585C0A">
      <w:r>
        <w:separator/>
      </w:r>
    </w:p>
  </w:footnote>
  <w:footnote w:type="continuationSeparator" w:id="0">
    <w:p w14:paraId="0FB27491" w14:textId="77777777" w:rsidR="00834762" w:rsidRDefault="00834762" w:rsidP="0058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4F46" w14:textId="77777777" w:rsidR="00585C0A" w:rsidRDefault="00585C0A" w:rsidP="00585C0A">
    <w:pPr>
      <w:pStyle w:val="Header"/>
      <w:jc w:val="center"/>
    </w:pPr>
    <w:r>
      <w:t>APPENDIX 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952AB02"/>
    <w:lvl w:ilvl="0">
      <w:numFmt w:val="bullet"/>
      <w:pStyle w:val="Level1"/>
      <w:lvlText w:val="*"/>
      <w:lvlJc w:val="left"/>
    </w:lvl>
  </w:abstractNum>
  <w:abstractNum w:abstractNumId="1" w15:restartNumberingAfterBreak="0">
    <w:nsid w:val="0000004D"/>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520178"/>
    <w:multiLevelType w:val="hybridMultilevel"/>
    <w:tmpl w:val="FAE0F0C4"/>
    <w:lvl w:ilvl="0" w:tplc="A75C255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pStyle w:val="Level1"/>
        <w:lvlText w:val=""/>
        <w:legacy w:legacy="1" w:legacySpace="0" w:legacyIndent="420"/>
        <w:lvlJc w:val="left"/>
        <w:pPr>
          <w:ind w:left="420" w:hanging="420"/>
        </w:pPr>
        <w:rPr>
          <w:rFonts w:ascii="WP MathA" w:hAnsi="WP MathA" w:hint="default"/>
        </w:rPr>
      </w:lvl>
    </w:lvlOverride>
  </w:num>
  <w:num w:numId="3">
    <w:abstractNumId w:val="0"/>
    <w:lvlOverride w:ilvl="0">
      <w:lvl w:ilvl="0">
        <w:numFmt w:val="bullet"/>
        <w:pStyle w:val="Level1"/>
        <w:lvlText w:val="$"/>
        <w:legacy w:legacy="1" w:legacySpace="0" w:legacyIndent="420"/>
        <w:lvlJc w:val="left"/>
        <w:pPr>
          <w:ind w:left="420" w:hanging="420"/>
        </w:pPr>
        <w:rPr>
          <w:rFonts w:ascii="WP TypographicSymbols" w:hAnsi="WP TypographicSymbols" w:hint="default"/>
        </w:rPr>
      </w:lvl>
    </w:lvlOverride>
  </w:num>
  <w:num w:numId="4">
    <w:abstractNumId w:val="0"/>
    <w:lvlOverride w:ilvl="0">
      <w:lvl w:ilvl="0">
        <w:numFmt w:val="bullet"/>
        <w:pStyle w:val="Level1"/>
        <w:lvlText w:val=""/>
        <w:legacy w:legacy="1" w:legacySpace="0" w:legacyIndent="300"/>
        <w:lvlJc w:val="left"/>
        <w:pPr>
          <w:ind w:left="720" w:hanging="300"/>
        </w:pPr>
        <w:rPr>
          <w:rFonts w:ascii="WP MathA" w:hAnsi="WP MathA"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71"/>
    <w:rsid w:val="00120035"/>
    <w:rsid w:val="002F6D71"/>
    <w:rsid w:val="00323820"/>
    <w:rsid w:val="0042610B"/>
    <w:rsid w:val="004A3802"/>
    <w:rsid w:val="00503AC2"/>
    <w:rsid w:val="00585C0A"/>
    <w:rsid w:val="006D4936"/>
    <w:rsid w:val="00834762"/>
    <w:rsid w:val="008D5E3B"/>
    <w:rsid w:val="00A666B8"/>
    <w:rsid w:val="00B300E5"/>
    <w:rsid w:val="00BD0145"/>
    <w:rsid w:val="00BD320D"/>
    <w:rsid w:val="00D13B42"/>
    <w:rsid w:val="00E4352E"/>
    <w:rsid w:val="00E6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5B01395"/>
  <w15:chartTrackingRefBased/>
  <w15:docId w15:val="{B8EA0905-0B87-4982-9A3E-E9549EB5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A3802"/>
    <w:pPr>
      <w:numPr>
        <w:numId w:val="4"/>
      </w:numPr>
      <w:ind w:left="420" w:hanging="420"/>
      <w:outlineLvl w:val="0"/>
    </w:pPr>
  </w:style>
  <w:style w:type="paragraph" w:styleId="Header">
    <w:name w:val="header"/>
    <w:basedOn w:val="Normal"/>
    <w:link w:val="HeaderChar"/>
    <w:uiPriority w:val="99"/>
    <w:unhideWhenUsed/>
    <w:rsid w:val="00585C0A"/>
    <w:pPr>
      <w:tabs>
        <w:tab w:val="center" w:pos="4680"/>
        <w:tab w:val="right" w:pos="9360"/>
      </w:tabs>
    </w:pPr>
  </w:style>
  <w:style w:type="character" w:customStyle="1" w:styleId="HeaderChar">
    <w:name w:val="Header Char"/>
    <w:basedOn w:val="DefaultParagraphFont"/>
    <w:link w:val="Header"/>
    <w:uiPriority w:val="99"/>
    <w:rsid w:val="00585C0A"/>
    <w:rPr>
      <w:sz w:val="24"/>
      <w:szCs w:val="24"/>
    </w:rPr>
  </w:style>
  <w:style w:type="paragraph" w:styleId="Footer">
    <w:name w:val="footer"/>
    <w:basedOn w:val="Normal"/>
    <w:link w:val="FooterChar"/>
    <w:uiPriority w:val="99"/>
    <w:unhideWhenUsed/>
    <w:rsid w:val="00585C0A"/>
    <w:pPr>
      <w:tabs>
        <w:tab w:val="center" w:pos="4680"/>
        <w:tab w:val="right" w:pos="9360"/>
      </w:tabs>
    </w:pPr>
  </w:style>
  <w:style w:type="character" w:customStyle="1" w:styleId="FooterChar">
    <w:name w:val="Footer Char"/>
    <w:basedOn w:val="DefaultParagraphFont"/>
    <w:link w:val="Footer"/>
    <w:uiPriority w:val="99"/>
    <w:rsid w:val="00585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BBDFF-FBE9-40E0-B1ED-1E748E9242DD}"/>
</file>

<file path=customXml/itemProps2.xml><?xml version="1.0" encoding="utf-8"?>
<ds:datastoreItem xmlns:ds="http://schemas.openxmlformats.org/officeDocument/2006/customXml" ds:itemID="{C6AEB358-28FB-4B28-BF59-1473494832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20CFE7-B677-4456-9F45-B5FBF9AC9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LPA CHANGE ORDER PROCESS</vt:lpstr>
    </vt:vector>
  </TitlesOfParts>
  <Company>Ohio Department of Transportation</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CHANGE ORDER PROCESS</dc:title>
  <dc:subject/>
  <dc:creator>Linda Bailiff</dc:creator>
  <cp:keywords/>
  <dc:description/>
  <cp:lastModifiedBy>Addendum 9</cp:lastModifiedBy>
  <cp:revision>2</cp:revision>
  <dcterms:created xsi:type="dcterms:W3CDTF">2021-03-22T14:04:00Z</dcterms:created>
  <dcterms:modified xsi:type="dcterms:W3CDTF">2021-03-22T14:04:00Z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0x0101001EF2A0E2FCEBC441AE756F492ADF2ED4</vt:lpwstr>
  </property>
</Properties>
</file>